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Health and social care BTEC</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29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health and social care sector are at the heart of society and the BTEC Tech Award in Health and Social allows students to understand that care values are at the heart of this industry and to gain knowledge in a practical way. Component one allows students to explore how individuals develop physically, emotionally, socially and intellectually over time and allows students to investigate how various factors, events and choices impact individuals’ growth and development. Students will also discover how people adapt to life events and cope with making changes. Component two allows students to get to know how the Health and Social Care sector works and the care values that lie at the core of it. In this unit students will learn which health and social care services are available as well as identifying why people might need to use these services. Students will discover who’s involved in providing these services and explore what might stop people from accessing the services they need. The final component is examined and will teach students how to help improve someone’s health and wellbeing.</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1 (30% of grade)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Human Lifespan Development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Internally assessed coursework unit which is externally moderated</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2 (30% of grade)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Health and Social Care Services and Values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Internally assessed coursework unit which is externally moderated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Component 3 (40% of grade)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Health and Wellbeing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Externally assessed exam sat in the summer of year 11</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Awarding Body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Edexcel (2022 specification)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9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are expected to complete 45 minutes of homework per week. This will be set by their teacher. Students are also expected to complete their coursework autonomously within published timescales.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8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Mental health nurse, Nurse, Occupational therapist, Doctor, Paramedic, Play therapist        Social worker, Nursery nurse.</w:t>
            </w:r>
          </w:p>
        </w:tc>
      </w:tr>
      <w:tr>
        <w:trPr>
          <w:cantSplit w:val="0"/>
          <w:trHeight w:val="4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S. Boyes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s.boyes@pudseygrammar.co.uk</w:t>
            </w:r>
          </w:p>
        </w:tc>
      </w:tr>
    </w:tbl>
    <w:p w:rsidR="00000000" w:rsidDel="00000000" w:rsidP="00000000" w:rsidRDefault="00000000" w:rsidRPr="00000000" w14:paraId="00000024">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