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Health and social care BTEC</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health and social care sector are at the heart of society and the BTEC Tech Award in Health and Social allows students to understand that care values are at the heart of this industry and to gain knowledge in a practical way. Component one allows students to explore how individuals develop physically, emotionally, socially and intellectually over time and allows students to investigate how various factors, events and choices impact individuals’ growth and development. Students will also discover how people adapt to life events and cope with making changes. Component two allows students to get to know how the Health and Social Care sector works and the care values that lie at the core of it. In this unit students will learn which health and social care services are available as well as identifying why people might need to use these services. Students will discover who’s involved in providing these services and explore what might stop people from accessing the services they need. The final component is examined and will teach students how to help improve someone’s health and wellbeing.</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18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Component 1 (30% of grade)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Human Lifespan Development</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Internally assessed coursework unit which is externally moderated</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Component 2 (30% of grade)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Health and Social Care Services and Values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Internally assessed coursework unit which is externally moderated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Component 3 (40% of grade)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Health and Wellbeing</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Externally assessed exam sat in the summer of year 11</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Edexcel (2022 specification)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94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are expected to complete 45 minutes of homework per week. This will be set by their teacher. Students are also expected to complete their coursework autonomously within published timescales.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8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Mental health nurse, Nurse, Occupational therapist, Doctor, Paramedic, Play therapist        Social worker, Nursery nurse.</w:t>
            </w:r>
          </w:p>
        </w:tc>
      </w:tr>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Miss S. Boyes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s.boyes@pudseygrammar.co.uk</w:t>
            </w:r>
          </w:p>
        </w:tc>
      </w:tr>
    </w:tbl>
    <w:p w:rsidR="00000000" w:rsidDel="00000000" w:rsidP="00000000" w:rsidRDefault="00000000" w:rsidRPr="00000000" w14:paraId="00000024">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