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10"/>
        <w:gridCol w:w="105"/>
        <w:gridCol w:w="4530"/>
        <w:tblGridChange w:id="0">
          <w:tblGrid>
            <w:gridCol w:w="4410"/>
            <w:gridCol w:w="105"/>
            <w:gridCol w:w="4530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36"/>
                <w:szCs w:val="36"/>
                <w:rtl w:val="0"/>
              </w:rPr>
              <w:t xml:space="preserve">Creative iMedia (OCR Cambridge National)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Course Overview</w:t>
            </w:r>
          </w:p>
        </w:tc>
      </w:tr>
      <w:tr>
        <w:trPr>
          <w:cantSplit w:val="0"/>
          <w:trHeight w:val="2698.33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after="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The world is changing at a rapid pace but one thing is for sure, it’s going to be a digital future. The Creative iMedia course has been developed to inspire and enthuse learners to consider a career in one of the UK’s biggest industries. Students will be given the opportunity to utilise a range of cutting edge digital technologies in order to produce a variety of creative media products that demonstrate their understanding of the industry. Learners will work to set briefs to give them a better idea of real working practises. The course presents knowledge, skills and understanding in a meaningful, work-related context, allowing learners to explore media concepts and their application. The course leads on seamlessly to the media course at our exceptional sixth form.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Assessment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1 Exam Unit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R093 Creative iMedia in the media industry. (1 hour 30 mins).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R093 = 40%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R094 = 25%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R095/R098 = 35%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Mandatory Coursework Unit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42" w:right="0" w:hanging="283.4645669291342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R094 Visual Identity and digital graphics.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One of the two units from below: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42" w:right="0" w:hanging="283.4645669291342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R095 Characters and comics.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42" w:right="0" w:hanging="283.4645669291342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R098 Visual Imaging.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Unit briefs change each year. Coursework is subject to external moderation.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Awarding Body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OCR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Independent Learning Expectations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As with all practical courses, there is a requirement for all students to spend time outside of lessons to practise their skills. Coursework is expected to be completed within a limited timeframe; it is the student’s responsibility to ensure that these are completed with autonomy.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Possible Careers in the Subject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Marketing and Advertising.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Publishing.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Journalism.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Social Media Manager.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Animation.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Video/Film Production.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Graphic Designer.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Media Editor.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Photographer.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Games Design.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Subject Leader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Name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Mr P Sammons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Email address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p.sammons@pudseygrammar.co.uk</w:t>
            </w:r>
          </w:p>
        </w:tc>
      </w:tr>
    </w:tbl>
    <w:p w:rsidR="00000000" w:rsidDel="00000000" w:rsidP="00000000" w:rsidRDefault="00000000" w:rsidRPr="00000000" w14:paraId="0000003B">
      <w:pPr>
        <w:pageBreakBefore w:val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