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
        <w:gridCol w:w="4513"/>
        <w:tblGridChange w:id="0">
          <w:tblGrid>
            <w:gridCol w:w="4512"/>
            <w:gridCol w:w="4513"/>
          </w:tblGrid>
        </w:tblGridChange>
      </w:tblGrid>
      <w:tr>
        <w:trPr>
          <w:cantSplit w:val="0"/>
          <w:trHeight w:val="56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Childhood development BTEC Tech Award</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Tech Award gives learners the opportunity to develop applied knowledge and understanding of child development and growth up to the age of five, how children learn through play and how meeting the needs of individual children will support their development, play and learning.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a practical learning environment, learners will have the opportunity to develop applied knowledge in the following areas: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Montserrat" w:cs="Montserrat" w:eastAsia="Montserrat" w:hAnsi="Montserrat"/>
                <w:sz w:val="20"/>
                <w:szCs w:val="20"/>
                <w:rtl w:val="0"/>
              </w:rPr>
              <w:t xml:space="preserve"> the characteristics of children’s development from birth up to five years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Montserrat" w:cs="Montserrat" w:eastAsia="Montserrat" w:hAnsi="Montserrat"/>
                <w:sz w:val="20"/>
                <w:szCs w:val="20"/>
                <w:rtl w:val="0"/>
              </w:rPr>
              <w:t xml:space="preserve"> factors that affect growth and development</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Montserrat" w:cs="Montserrat" w:eastAsia="Montserrat" w:hAnsi="Montserrat"/>
                <w:sz w:val="20"/>
                <w:szCs w:val="20"/>
                <w:rtl w:val="0"/>
              </w:rPr>
              <w:t xml:space="preserve"> the importance of play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Montserrat" w:cs="Montserrat" w:eastAsia="Montserrat" w:hAnsi="Montserrat"/>
                <w:sz w:val="20"/>
                <w:szCs w:val="20"/>
                <w:rtl w:val="0"/>
              </w:rPr>
              <w:t xml:space="preserve"> how play promotes children’s learning and development</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bookmarkStart w:colFirst="0" w:colLast="0" w:name="_gjdgxs" w:id="0"/>
            <w:bookmarkEnd w:id="0"/>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Montserrat" w:cs="Montserrat" w:eastAsia="Montserrat" w:hAnsi="Montserrat"/>
                <w:sz w:val="20"/>
                <w:szCs w:val="20"/>
                <w:rtl w:val="0"/>
              </w:rPr>
              <w:t xml:space="preserve"> reasons why children may need support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Montserrat" w:cs="Montserrat" w:eastAsia="Montserrat" w:hAnsi="Montserrat"/>
                <w:sz w:val="20"/>
                <w:szCs w:val="20"/>
                <w:rtl w:val="0"/>
              </w:rPr>
              <w:t xml:space="preserve"> child-friendly environments to support play, learning and development in children from birth to five years old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Montserrat" w:cs="Montserrat" w:eastAsia="Montserrat" w:hAnsi="Montserrat"/>
                <w:sz w:val="20"/>
                <w:szCs w:val="20"/>
                <w:rtl w:val="0"/>
              </w:rPr>
              <w:t xml:space="preserve"> supporting all children to learn and develop physically, intellectually, emotionally and socially, and adapting activities to support children’s play, learning and development.</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18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Component 1 (30% of grade)</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Children’s growth and development</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Internally assessed coursework unit which is externally moderated</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Component 2 (30% of grade)</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Learning through play</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Internally assessed coursework unit which is externally moderated</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Component 3 (40% of grade)</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Supporting children to play, learn and develop</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Externally assessed exam sat in the summer of year 11</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Edexcel (2022 specification)</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94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are expected to complete 45 minutes of homework per week. This will be set by their teacher. Students are also expected to complete their coursework autonomously within published timescales.</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82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8"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Childcare, teaching, paediatrician, psychologist, occupational therapist, speech and language therapist, mental health nurse, and psychiatrist</w:t>
            </w:r>
            <w:r w:rsidDel="00000000" w:rsidR="00000000" w:rsidRPr="00000000">
              <w:rPr>
                <w:rtl w:val="0"/>
              </w:rPr>
            </w:r>
          </w:p>
        </w:tc>
      </w:tr>
      <w:tr>
        <w:trPr>
          <w:cantSplit w:val="0"/>
          <w:trHeight w:val="46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S. Boyes</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s.boyes@pudseygrammar.co.uk</w:t>
            </w:r>
          </w:p>
        </w:tc>
      </w:tr>
    </w:tbl>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