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
        <w:gridCol w:w="4513"/>
        <w:tblGridChange w:id="0">
          <w:tblGrid>
            <w:gridCol w:w="4512"/>
            <w:gridCol w:w="4513"/>
          </w:tblGrid>
        </w:tblGridChange>
      </w:tblGrid>
      <w:tr>
        <w:trPr>
          <w:cantSplit w:val="0"/>
          <w:trHeight w:val="56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Childhood development BTEC Tech Award</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Tech Award gives learners the opportunity to develop applied knowledge and understanding of child development and growth up to the age of five, how children learn through play and how meeting the needs of individual children will support their development, play and learning.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 a practical learning environment, learners will have the opportunity to develop applied knowledge in the following areas: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the characteristics of children’s development from birth up to five years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factors that affect growth and development</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the importance of play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how play promotes children’s learning and development</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bookmarkStart w:colFirst="0" w:colLast="0" w:name="_gjdgxs" w:id="0"/>
            <w:bookmarkEnd w:id="0"/>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reasons why children may need support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child-friendly environments to support play, learning and development in children from birth to five years old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Montserrat" w:cs="Montserrat" w:eastAsia="Montserrat" w:hAnsi="Montserrat"/>
                <w:sz w:val="20"/>
                <w:szCs w:val="20"/>
                <w:rtl w:val="0"/>
              </w:rPr>
              <w:t xml:space="preserve"> supporting all children to learn and develop physically, intellectually, emotionally and socially, and adapting activities to support children’s play, learning and development.</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1 (30% of grade)</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Children’s growth and development</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Internally assessed coursework unit which is externally moderated</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2 (30% of grade)</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Learning through play</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Internally assessed coursework unit which is externally moderated</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3 (40% of grade)</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Supporting children to play, learn and develop</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Externally assessed exam sat in the summer of year 11</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Edexcel (2022 specification)</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94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are expected to complete 45 minutes of homework per week. This will be set by their teacher. Students are also expected to complete their coursework autonomously within published timescales.</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82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8"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18"/>
                <w:szCs w:val="18"/>
                <w:u w:val="none"/>
                <w:shd w:fill="auto" w:val="clear"/>
                <w:vertAlign w:val="baseline"/>
                <w:rtl w:val="0"/>
              </w:rPr>
              <w:t xml:space="preserve">Childcare, teaching, paediatrician, psychologist, occupational therapist, speech and language therapist, mental health nurse, and psychiatrist</w:t>
            </w:r>
            <w:r w:rsidDel="00000000" w:rsidR="00000000" w:rsidRPr="00000000">
              <w:rPr>
                <w:rtl w:val="0"/>
              </w:rPr>
            </w:r>
          </w:p>
        </w:tc>
      </w:tr>
      <w:tr>
        <w:trPr>
          <w:cantSplit w:val="0"/>
          <w:trHeight w:val="46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S. Boyes</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s.boyes@pudseygrammar.co.uk</w:t>
            </w:r>
          </w:p>
        </w:tc>
      </w:tr>
    </w:tbl>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