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512"/>
        <w:gridCol w:w="4513"/>
        <w:tblGridChange w:id="0">
          <w:tblGrid>
            <w:gridCol w:w="4512"/>
            <w:gridCol w:w="4513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36"/>
                <w:szCs w:val="36"/>
                <w:rtl w:val="0"/>
              </w:rPr>
              <w:t xml:space="preserve">Design &amp; Technology GCSE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Course Overview</w:t>
            </w:r>
          </w:p>
        </w:tc>
      </w:tr>
      <w:tr>
        <w:trPr>
          <w:cantSplit w:val="0"/>
          <w:trHeight w:val="29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Component 1 involves students exploring Design &amp; Technology in the 21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Century alongside investigating design from the past. Students will look into New an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d Emerging Technologies, Energy production, Electronic systems as well as researching into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 range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of products 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in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wood, 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metal and acrylic, paper, textiles and electronics. Students will use 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hand equipment as well as developing skills in CAD/CAM. 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The final exam will be a mix of short answer, structured and extended writing questions assessing candidates' knowledge and understanding of: technology, design and make, analysis and evaluation of design decisions and wider issues in design and technology.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Component 2 is the student’s final Design &amp; Make task that takes approximately 35 hours. All the practical skills developed across KS3 and year 10 will enable the students to select the most appropriate product for production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, b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ased on a contextual challenge set by the exam board.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Assessment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Component 1 - 50% of the Product Design GCSE. 2 hour exam.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Component 2 – 50% of the Product Design GCSE. 35 hour Design &amp; Make project.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Awarding Body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Eduqas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Independent Learning Expectations</w:t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As with all practical subjects Design &amp; Technology students will be expected to attend after school sessions to extend and give depth to their practical skills f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rom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metal casting 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to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access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ing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the CAD/CAM equipment to enhance their design and make skills further.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Possible Careers in the Subject</w:t>
            </w:r>
          </w:p>
        </w:tc>
      </w:tr>
      <w:tr>
        <w:trPr>
          <w:cantSplit w:val="0"/>
          <w:trHeight w:val="1908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Engineering                                            Architecture</w:t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Carpentry                                                Product Development &amp; Research</w:t>
            </w:r>
          </w:p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Product Design                                      Jewellery Design</w:t>
            </w:r>
          </w:p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Product Manufacturing                         Manufacturing Management</w:t>
            </w:r>
          </w:p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Automotive/Aeronautical Design       Product Testing and Quality Assurance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Subject Leader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M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iss H Snaith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Email address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h.snaith@pudseygrammar.co.uk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