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2.755905511812"/>
        <w:gridCol w:w="4512.755905511812"/>
        <w:tblGridChange w:id="0">
          <w:tblGrid>
            <w:gridCol w:w="4512.755905511812"/>
            <w:gridCol w:w="4512.755905511812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36"/>
                <w:szCs w:val="36"/>
                <w:rtl w:val="0"/>
              </w:rPr>
              <w:t xml:space="preserve">CORE Religious Education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Course Overview</w:t>
            </w:r>
          </w:p>
        </w:tc>
      </w:tr>
      <w:tr>
        <w:trPr>
          <w:cantSplit w:val="0"/>
          <w:trHeight w:val="2179.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 year 10 PSHE and RE is rotated on a half yearly basis.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In year 10 Religious Education you will cover: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Peace and Conflict: exploring the role of religion in conflict and conflict resolution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Euthanasia: exploring the arguments for and against the legalisation of assisted suicide and other ethical issues with euthanasia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Abortion and IVF:  exploring the ethical issues surrounding abortion and IVF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Assessment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One piece of marked work per half term done in lesson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Awarding Body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Independent Learning Expectations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Respect for in classroom discussions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Tolerance of different views and ideas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Compassion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Possible Careers in the Subject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Social Care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Health and Social studies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Any healthcare profession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Police Officer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Lawyer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Financial Advisor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Subject Leader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Name: Mrs. L Lea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20"/>
                <w:szCs w:val="20"/>
                <w:rtl w:val="0"/>
              </w:rPr>
              <w:t xml:space="preserve">Email address: l.lea@pudseygrammar.co.uk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