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6"/>
                <w:szCs w:val="36"/>
                <w:rtl w:val="0"/>
              </w:rPr>
              <w:t xml:space="preserve">CORE Religious Education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179.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In year 10 PSHE and RE is rotated on a half yearly basis.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In year 10 Religious Education you will cover: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Peace and Conflict: exploring the role of religion in conflict and conflict resolution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Euthanasia: exploring the arguments for and against the legalisation of assisted suicide and other ethical issues with euthanasia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Abortion and IVF:  exploring the ethical issues surrounding abortion and IVF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One piece of marked work per half term done in lesson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Respect for in classroom discussions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Tolerance of different views and ideas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Compassion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Social Care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Health and Social studies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Any healthcare profession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Police Officer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Lawyer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Financial Advisor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Name: Mrs. L Lea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Email address: l.lea@pudseygrammar.co.uk</w:t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