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731200" cy="609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0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2.755905511812"/>
        <w:gridCol w:w="4512.755905511812"/>
        <w:tblGridChange w:id="0">
          <w:tblGrid>
            <w:gridCol w:w="4512.755905511812"/>
            <w:gridCol w:w="4512.755905511812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36"/>
                <w:szCs w:val="36"/>
                <w:rtl w:val="0"/>
              </w:rPr>
              <w:t xml:space="preserve">Mathematics GCSE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Course Overview</w:t>
            </w:r>
          </w:p>
        </w:tc>
      </w:tr>
      <w:tr>
        <w:trPr>
          <w:cantSplit w:val="0"/>
          <w:trHeight w:val="29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widowControl w:val="0"/>
              <w:spacing w:before="0" w:line="240" w:lineRule="auto"/>
              <w:jc w:val="both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The GCSE specification in mathematics aims to enable students to:</w:t>
            </w:r>
          </w:p>
          <w:p w:rsidR="00000000" w:rsidDel="00000000" w:rsidP="00000000" w:rsidRDefault="00000000" w:rsidRPr="00000000" w14:paraId="00000007">
            <w:pPr>
              <w:pageBreakBefore w:val="0"/>
              <w:widowControl w:val="0"/>
              <w:spacing w:before="0" w:line="240" w:lineRule="auto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1.  Develop fluent knowledge, skills and understanding of mathematical methods and concepts</w:t>
            </w:r>
          </w:p>
          <w:p w:rsidR="00000000" w:rsidDel="00000000" w:rsidP="00000000" w:rsidRDefault="00000000" w:rsidRPr="00000000" w14:paraId="00000008">
            <w:pPr>
              <w:pageBreakBefore w:val="0"/>
              <w:widowControl w:val="0"/>
              <w:spacing w:before="0" w:line="240" w:lineRule="auto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2.   Acquire, select and apply mathematical techniques to solve problems</w:t>
            </w:r>
          </w:p>
          <w:p w:rsidR="00000000" w:rsidDel="00000000" w:rsidP="00000000" w:rsidRDefault="00000000" w:rsidRPr="00000000" w14:paraId="00000009">
            <w:pPr>
              <w:pageBreakBefore w:val="0"/>
              <w:widowControl w:val="0"/>
              <w:spacing w:before="0" w:line="240" w:lineRule="auto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3.   Reason mathematically, make deductions and inferences and draw conclusions</w:t>
            </w:r>
          </w:p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before="0" w:line="240" w:lineRule="auto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4.  Comprehend, interpret and communicate mathematical information in a variety of forms appropriate to the information and context.</w:t>
            </w:r>
          </w:p>
          <w:p w:rsidR="00000000" w:rsidDel="00000000" w:rsidP="00000000" w:rsidRDefault="00000000" w:rsidRPr="00000000" w14:paraId="0000000B">
            <w:pPr>
              <w:pageBreakBefore w:val="0"/>
              <w:widowControl w:val="0"/>
              <w:spacing w:before="0" w:line="240" w:lineRule="auto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before="0" w:line="240" w:lineRule="auto"/>
              <w:jc w:val="both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The content is split into the following strands:</w:t>
            </w:r>
          </w:p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before="0" w:line="240" w:lineRule="auto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Number, Algebra, Ratio, Proportion and Rates of Change, Geometry and Measures, Probability and Statistics.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Assessment</w:t>
            </w:r>
          </w:p>
        </w:tc>
      </w:tr>
      <w:tr>
        <w:trPr>
          <w:cantSplit w:val="0"/>
          <w:trHeight w:val="3870.7999999999993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Exam Board - Pearson Edexcel (1MA1)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3 x Exams - All 1 hour 30 mins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Paper 1 - Non Calculator (80 Marks)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Paper 2 - Calculator (80 Marks)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Paper 3 - Calculator (80 Marks)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The scores for each of the papers are added together and then an overall grade is awarded.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All papers will contain a mixture of questions from all strands of the course.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For the foundation course - Students will be awarded a grade 1 - 5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For the Higher Course - Students will be awarded a grade 4 - 9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Awarding Body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Edexcel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Possible Careers in the Subject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Engineer, Games developer, Software Programmer, Accountant, Statistician, Banker, Financial Advisor, Stockbroker, Management consultant, IT Consultant.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Subject Leader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 Mr M. Eaton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Email address 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m.eaton@pudseygrammar.co.uk</w:t>
            </w:r>
          </w:p>
        </w:tc>
      </w:tr>
    </w:tbl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