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English Literature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0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before="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At Key Stage 4, our vision is to continue to motivate, enthuse and inspire all students so that they have a curiosity and interest in English, are active participants in lessons and develop a passion for reading and writing. </w:t>
            </w:r>
            <w:r w:rsidDel="00000000" w:rsidR="00000000" w:rsidRPr="00000000">
              <w:rPr>
                <w:rFonts w:ascii="Montserrat" w:cs="Montserrat" w:eastAsia="Montserrat" w:hAnsi="Montserrat"/>
                <w:color w:val="2d2d2d"/>
                <w:sz w:val="20"/>
                <w:szCs w:val="20"/>
                <w:highlight w:val="white"/>
                <w:rtl w:val="0"/>
              </w:rPr>
              <w:t xml:space="preserve">During Years 10 and 11, students follow an integrated English Literature and Language course in order to prepare them for the demands of the Key Stage 4 examinations, including the study of ‘An Inspector Calls’, ‘Macbeth’, poetry from the AQA Anthology and ‘A Christmas Carol’.</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before="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Examination</w:t>
            </w:r>
            <w:r w:rsidDel="00000000" w:rsidR="00000000" w:rsidRPr="00000000">
              <w:rPr>
                <w:rtl w:val="0"/>
              </w:rPr>
            </w:r>
          </w:p>
          <w:p w:rsidR="00000000" w:rsidDel="00000000" w:rsidP="00000000" w:rsidRDefault="00000000" w:rsidRPr="00000000" w14:paraId="0000000B">
            <w:pPr>
              <w:widowControl w:val="0"/>
              <w:spacing w:before="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Paper 1 (1 hour 45 mins) 40%</w:t>
            </w:r>
          </w:p>
          <w:p w:rsidR="00000000" w:rsidDel="00000000" w:rsidP="00000000" w:rsidRDefault="00000000" w:rsidRPr="00000000" w14:paraId="0000000C">
            <w:pPr>
              <w:widowControl w:val="0"/>
              <w:spacing w:before="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A: ‘Macbeth’</w:t>
            </w:r>
          </w:p>
          <w:p w:rsidR="00000000" w:rsidDel="00000000" w:rsidP="00000000" w:rsidRDefault="00000000" w:rsidRPr="00000000" w14:paraId="0000000D">
            <w:pPr>
              <w:widowControl w:val="0"/>
              <w:spacing w:before="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B: ‘’A Christmas Carol’</w:t>
            </w:r>
          </w:p>
          <w:p w:rsidR="00000000" w:rsidDel="00000000" w:rsidP="00000000" w:rsidRDefault="00000000" w:rsidRPr="00000000" w14:paraId="0000000E">
            <w:pPr>
              <w:widowControl w:val="0"/>
              <w:spacing w:before="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widowControl w:val="0"/>
              <w:spacing w:before="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Paper 2 (2 hours 15 mins) 60%</w:t>
            </w:r>
          </w:p>
          <w:p w:rsidR="00000000" w:rsidDel="00000000" w:rsidP="00000000" w:rsidRDefault="00000000" w:rsidRPr="00000000" w14:paraId="00000010">
            <w:pPr>
              <w:widowControl w:val="0"/>
              <w:spacing w:before="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sz w:val="20"/>
                <w:szCs w:val="20"/>
                <w:rtl w:val="0"/>
              </w:rPr>
              <w:t xml:space="preserve">Section A: ‘An Inspector Calls’</w:t>
            </w:r>
          </w:p>
          <w:p w:rsidR="00000000" w:rsidDel="00000000" w:rsidP="00000000" w:rsidRDefault="00000000" w:rsidRPr="00000000" w14:paraId="00000011">
            <w:pPr>
              <w:widowControl w:val="0"/>
              <w:spacing w:before="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B: Poetry from the Anthology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Section C: Unseen poetry</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AQA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381.807999999999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before="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should practise planning and writing responses to examination questions. Students should make notes on context,  characters, themes and setting for revision. As these are ‘closed book’ examinations, students must learn key quotations for each of the set texts.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908.2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numPr>
                <w:ilvl w:val="0"/>
                <w:numId w:val="1"/>
              </w:numPr>
              <w:spacing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Law</w:t>
            </w:r>
          </w:p>
          <w:p w:rsidR="00000000" w:rsidDel="00000000" w:rsidP="00000000" w:rsidRDefault="00000000" w:rsidRPr="00000000" w14:paraId="0000001F">
            <w:pPr>
              <w:pageBreakBefore w:val="0"/>
              <w:widowControl w:val="0"/>
              <w:numPr>
                <w:ilvl w:val="0"/>
                <w:numId w:val="1"/>
              </w:numPr>
              <w:spacing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Marketing</w:t>
            </w:r>
          </w:p>
          <w:p w:rsidR="00000000" w:rsidDel="00000000" w:rsidP="00000000" w:rsidRDefault="00000000" w:rsidRPr="00000000" w14:paraId="00000020">
            <w:pPr>
              <w:pageBreakBefore w:val="0"/>
              <w:widowControl w:val="0"/>
              <w:numPr>
                <w:ilvl w:val="0"/>
                <w:numId w:val="1"/>
              </w:numPr>
              <w:spacing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Journalism</w:t>
            </w:r>
          </w:p>
          <w:p w:rsidR="00000000" w:rsidDel="00000000" w:rsidP="00000000" w:rsidRDefault="00000000" w:rsidRPr="00000000" w14:paraId="00000021">
            <w:pPr>
              <w:pageBreakBefore w:val="0"/>
              <w:widowControl w:val="0"/>
              <w:numPr>
                <w:ilvl w:val="0"/>
                <w:numId w:val="1"/>
              </w:numPr>
              <w:spacing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Advertising</w:t>
            </w:r>
          </w:p>
          <w:p w:rsidR="00000000" w:rsidDel="00000000" w:rsidP="00000000" w:rsidRDefault="00000000" w:rsidRPr="00000000" w14:paraId="00000022">
            <w:pPr>
              <w:pageBreakBefore w:val="0"/>
              <w:widowControl w:val="0"/>
              <w:numPr>
                <w:ilvl w:val="0"/>
                <w:numId w:val="1"/>
              </w:numPr>
              <w:spacing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Public Relations</w:t>
            </w:r>
          </w:p>
          <w:p w:rsidR="00000000" w:rsidDel="00000000" w:rsidP="00000000" w:rsidRDefault="00000000" w:rsidRPr="00000000" w14:paraId="00000023">
            <w:pPr>
              <w:pageBreakBefore w:val="0"/>
              <w:widowControl w:val="0"/>
              <w:numPr>
                <w:ilvl w:val="0"/>
                <w:numId w:val="1"/>
              </w:numPr>
              <w:spacing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Teaching</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Mrs C. Gregory</w:t>
            </w:r>
          </w:p>
          <w:p w:rsidR="00000000" w:rsidDel="00000000" w:rsidP="00000000" w:rsidRDefault="00000000" w:rsidRPr="00000000" w14:paraId="00000028">
            <w:pPr>
              <w:pageBreakBefore w:val="0"/>
              <w:widowControl w:val="0"/>
              <w:spacing w:after="0" w:before="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c.gregory@pudseygrammar.co.uk</w:t>
            </w:r>
          </w:p>
        </w:tc>
      </w:tr>
    </w:tbl>
    <w:p w:rsidR="00000000" w:rsidDel="00000000" w:rsidP="00000000" w:rsidRDefault="00000000" w:rsidRPr="00000000" w14:paraId="0000002A">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